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CB5F" w14:textId="5A7F00DF" w:rsidR="00C56127" w:rsidRDefault="00C56127" w:rsidP="00C56127">
      <w:pPr>
        <w:pStyle w:val="KeinLeerraum"/>
        <w:jc w:val="both"/>
        <w:rPr>
          <w:rFonts w:ascii="Calibri" w:hAnsi="Calibri" w:cs="Calibri"/>
          <w:b/>
          <w:sz w:val="32"/>
          <w:szCs w:val="32"/>
        </w:rPr>
      </w:pPr>
      <w:r w:rsidRPr="00C56127">
        <w:rPr>
          <w:rFonts w:ascii="Calibri" w:hAnsi="Calibri" w:cs="Calibri"/>
          <w:b/>
          <w:sz w:val="32"/>
          <w:szCs w:val="32"/>
        </w:rPr>
        <w:t>Kurzinformation</w:t>
      </w:r>
      <w:r w:rsidRPr="00C56127">
        <w:rPr>
          <w:rFonts w:ascii="Calibri" w:hAnsi="Calibri" w:cs="Calibri"/>
        </w:rPr>
        <w:t xml:space="preserve"> über die </w:t>
      </w:r>
      <w:r w:rsidRPr="00C56127">
        <w:rPr>
          <w:rFonts w:ascii="Calibri" w:hAnsi="Calibri" w:cs="Calibri"/>
          <w:b/>
          <w:sz w:val="32"/>
          <w:szCs w:val="32"/>
        </w:rPr>
        <w:t xml:space="preserve">Gemeinderatssitzung </w:t>
      </w:r>
      <w:r w:rsidRPr="00C56127">
        <w:rPr>
          <w:rFonts w:ascii="Calibri" w:hAnsi="Calibri" w:cs="Calibri"/>
        </w:rPr>
        <w:t>vom</w:t>
      </w:r>
      <w:r w:rsidRPr="00C56127">
        <w:rPr>
          <w:rFonts w:ascii="Calibri" w:hAnsi="Calibri" w:cs="Calibri"/>
          <w:b/>
          <w:sz w:val="32"/>
          <w:szCs w:val="32"/>
        </w:rPr>
        <w:t xml:space="preserve"> </w:t>
      </w:r>
      <w:r>
        <w:rPr>
          <w:rFonts w:ascii="Calibri" w:hAnsi="Calibri" w:cs="Calibri"/>
          <w:b/>
          <w:sz w:val="32"/>
          <w:szCs w:val="32"/>
        </w:rPr>
        <w:t>19. März 2024</w:t>
      </w:r>
    </w:p>
    <w:p w14:paraId="55513F28" w14:textId="77777777" w:rsidR="00C56127" w:rsidRPr="00C56127" w:rsidRDefault="00C56127" w:rsidP="00C56127">
      <w:pPr>
        <w:pStyle w:val="KeinLeerraum"/>
        <w:jc w:val="both"/>
        <w:rPr>
          <w:rFonts w:ascii="Calibri" w:hAnsi="Calibri" w:cs="Calibri"/>
          <w:b/>
          <w:sz w:val="32"/>
          <w:szCs w:val="32"/>
        </w:rPr>
      </w:pPr>
    </w:p>
    <w:p w14:paraId="5D2066AD" w14:textId="766E2FEC" w:rsidR="00C56127" w:rsidRPr="00C56127" w:rsidRDefault="00C56127" w:rsidP="00C56127">
      <w:pPr>
        <w:pStyle w:val="Listenabsatz"/>
        <w:numPr>
          <w:ilvl w:val="0"/>
          <w:numId w:val="7"/>
        </w:numPr>
        <w:spacing w:after="0"/>
        <w:rPr>
          <w:b/>
          <w:u w:val="single"/>
          <w:lang w:val="de-DE"/>
        </w:rPr>
      </w:pPr>
      <w:r w:rsidRPr="00C56127">
        <w:rPr>
          <w:noProof/>
        </w:rPr>
        <w:drawing>
          <wp:anchor distT="0" distB="0" distL="114300" distR="114300" simplePos="0" relativeHeight="251659264" behindDoc="0" locked="0" layoutInCell="1" allowOverlap="1" wp14:anchorId="564FDCB7" wp14:editId="588A0F96">
            <wp:simplePos x="0" y="0"/>
            <wp:positionH relativeFrom="margin">
              <wp:align>left</wp:align>
            </wp:positionH>
            <wp:positionV relativeFrom="paragraph">
              <wp:posOffset>76200</wp:posOffset>
            </wp:positionV>
            <wp:extent cx="1924050" cy="15703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366" cy="1572714"/>
                    </a:xfrm>
                    <a:prstGeom prst="rect">
                      <a:avLst/>
                    </a:prstGeom>
                  </pic:spPr>
                </pic:pic>
              </a:graphicData>
            </a:graphic>
            <wp14:sizeRelH relativeFrom="margin">
              <wp14:pctWidth>0</wp14:pctWidth>
            </wp14:sizeRelH>
            <wp14:sizeRelV relativeFrom="margin">
              <wp14:pctHeight>0</wp14:pctHeight>
            </wp14:sizeRelV>
          </wp:anchor>
        </w:drawing>
      </w:r>
      <w:r w:rsidRPr="00C56127">
        <w:rPr>
          <w:b/>
          <w:u w:val="single"/>
          <w:lang w:val="de-DE"/>
        </w:rPr>
        <w:t>Neuer Gemeindearbeiter</w:t>
      </w:r>
    </w:p>
    <w:p w14:paraId="1857C6C4" w14:textId="7C316638" w:rsidR="00337ED7" w:rsidRDefault="00D265AF">
      <w:pPr>
        <w:rPr>
          <w:lang w:val="de-DE"/>
        </w:rPr>
      </w:pPr>
      <w:r w:rsidRPr="00C56127">
        <w:rPr>
          <w:noProof/>
        </w:rPr>
        <w:drawing>
          <wp:anchor distT="0" distB="0" distL="114300" distR="114300" simplePos="0" relativeHeight="251660288" behindDoc="1" locked="0" layoutInCell="1" allowOverlap="1" wp14:anchorId="40450B5D" wp14:editId="2F43CA24">
            <wp:simplePos x="0" y="0"/>
            <wp:positionH relativeFrom="column">
              <wp:posOffset>4834255</wp:posOffset>
            </wp:positionH>
            <wp:positionV relativeFrom="paragraph">
              <wp:posOffset>389255</wp:posOffset>
            </wp:positionV>
            <wp:extent cx="1182370" cy="2498090"/>
            <wp:effectExtent l="0" t="0" r="0" b="0"/>
            <wp:wrapTight wrapText="bothSides">
              <wp:wrapPolygon edited="0">
                <wp:start x="0" y="0"/>
                <wp:lineTo x="0" y="21413"/>
                <wp:lineTo x="21229" y="21413"/>
                <wp:lineTo x="2122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82370" cy="2498090"/>
                    </a:xfrm>
                    <a:prstGeom prst="rect">
                      <a:avLst/>
                    </a:prstGeom>
                  </pic:spPr>
                </pic:pic>
              </a:graphicData>
            </a:graphic>
            <wp14:sizeRelH relativeFrom="margin">
              <wp14:pctWidth>0</wp14:pctWidth>
            </wp14:sizeRelH>
            <wp14:sizeRelV relativeFrom="margin">
              <wp14:pctHeight>0</wp14:pctHeight>
            </wp14:sizeRelV>
          </wp:anchor>
        </w:drawing>
      </w:r>
      <w:r w:rsidR="00337ED7">
        <w:rPr>
          <w:lang w:val="de-DE"/>
        </w:rPr>
        <w:t xml:space="preserve">Michael Egerer wurde im Gemeindebauhof neu eingestellt. Er hat sich schon sehr gut eingearbeitet. </w:t>
      </w:r>
    </w:p>
    <w:p w14:paraId="1035C722" w14:textId="6D9CD836" w:rsidR="00337ED7" w:rsidRPr="00C56127" w:rsidRDefault="00337ED7" w:rsidP="00C56127">
      <w:pPr>
        <w:pStyle w:val="Listenabsatz"/>
        <w:numPr>
          <w:ilvl w:val="0"/>
          <w:numId w:val="7"/>
        </w:numPr>
        <w:spacing w:after="0"/>
        <w:rPr>
          <w:b/>
          <w:u w:val="single"/>
          <w:lang w:val="de-DE"/>
        </w:rPr>
      </w:pPr>
      <w:r w:rsidRPr="00C56127">
        <w:rPr>
          <w:b/>
          <w:u w:val="single"/>
          <w:lang w:val="de-DE"/>
        </w:rPr>
        <w:t>Gelber Sack</w:t>
      </w:r>
    </w:p>
    <w:p w14:paraId="26846280" w14:textId="7596A62C" w:rsidR="00337ED7" w:rsidRDefault="00337ED7">
      <w:pPr>
        <w:rPr>
          <w:lang w:val="de-DE"/>
        </w:rPr>
      </w:pPr>
      <w:r>
        <w:rPr>
          <w:lang w:val="de-DE"/>
        </w:rPr>
        <w:t>Ab 1. Jänner 2025 ist die Grüne Tonne Geschichte und der Gelbe Sack ist für die Entsorgung von Leicht- und Metallverpackungen zu verwenden. Damit wird unser jahrzehntelang bekanntes Müllsystem komplett umgekrempelt. Im Laufe des Jahres ist deshalb die Müllentsorgung weitgehend neu zu organisieren.</w:t>
      </w:r>
    </w:p>
    <w:p w14:paraId="4F7D2B23" w14:textId="6C89AEB3" w:rsidR="00337ED7" w:rsidRPr="00C56127" w:rsidRDefault="00337ED7" w:rsidP="00C56127">
      <w:pPr>
        <w:pStyle w:val="Listenabsatz"/>
        <w:numPr>
          <w:ilvl w:val="0"/>
          <w:numId w:val="7"/>
        </w:numPr>
        <w:spacing w:after="0"/>
        <w:rPr>
          <w:b/>
          <w:u w:val="single"/>
          <w:lang w:val="de-DE"/>
        </w:rPr>
      </w:pPr>
      <w:r w:rsidRPr="00C56127">
        <w:rPr>
          <w:b/>
          <w:u w:val="single"/>
          <w:lang w:val="de-DE"/>
        </w:rPr>
        <w:t>PV-Liga</w:t>
      </w:r>
    </w:p>
    <w:p w14:paraId="0688A1AA" w14:textId="5FC054B9" w:rsidR="00337ED7" w:rsidRDefault="00337ED7" w:rsidP="00337ED7">
      <w:pPr>
        <w:spacing w:line="276" w:lineRule="auto"/>
        <w:rPr>
          <w:rFonts w:cstheme="minorHAnsi"/>
        </w:rPr>
      </w:pPr>
      <w:r>
        <w:rPr>
          <w:rFonts w:cstheme="minorHAnsi"/>
        </w:rPr>
        <w:t xml:space="preserve">Die Gemeinde Kirchberg am Wechsel hat die PV-Liga (ein Ranking der eNu: Energie- und </w:t>
      </w:r>
      <w:proofErr w:type="spellStart"/>
      <w:r>
        <w:rPr>
          <w:rFonts w:cstheme="minorHAnsi"/>
        </w:rPr>
        <w:t>Umweltargentur</w:t>
      </w:r>
      <w:proofErr w:type="spellEnd"/>
      <w:r>
        <w:rPr>
          <w:rFonts w:cstheme="minorHAnsi"/>
        </w:rPr>
        <w:t xml:space="preserve"> des Landes NÖ) gewonnen hat. Von allen Gemeinden im Bezirk Neunkirchen hat Kirchberg im Jahr 2023 die höchste Pro-Kopf-Zuwachsrate an installierter PV-Leistung erreicht, nämlich 950 </w:t>
      </w:r>
      <w:proofErr w:type="spellStart"/>
      <w:r>
        <w:rPr>
          <w:rFonts w:cstheme="minorHAnsi"/>
        </w:rPr>
        <w:t>Wp</w:t>
      </w:r>
      <w:proofErr w:type="spellEnd"/>
      <w:r>
        <w:rPr>
          <w:rFonts w:cstheme="minorHAnsi"/>
        </w:rPr>
        <w:t>/Einwohner. Insgesamt weist Kirchberg zurzeit 239 PV-Anlagen auf, d. h. fast auf jedem vierten Haus in Kirchberg befindet sich eine Photovoltaikanlage. Die Leistung aller Anlagen zusammen beträgt aktuell 39</w:t>
      </w:r>
      <w:r w:rsidR="00C56127">
        <w:rPr>
          <w:rFonts w:cstheme="minorHAnsi"/>
        </w:rPr>
        <w:t>24</w:t>
      </w:r>
      <w:r>
        <w:rPr>
          <w:rFonts w:cstheme="minorHAnsi"/>
        </w:rPr>
        <w:t xml:space="preserve"> kWp.  </w:t>
      </w:r>
    </w:p>
    <w:p w14:paraId="724CA5BF" w14:textId="670FABA2" w:rsidR="00337ED7" w:rsidRPr="00C56127" w:rsidRDefault="00337ED7" w:rsidP="00C56127">
      <w:pPr>
        <w:pStyle w:val="Listenabsatz"/>
        <w:numPr>
          <w:ilvl w:val="0"/>
          <w:numId w:val="7"/>
        </w:numPr>
        <w:spacing w:after="0"/>
        <w:rPr>
          <w:b/>
          <w:u w:val="single"/>
          <w:lang w:val="de-DE"/>
        </w:rPr>
      </w:pPr>
      <w:r w:rsidRPr="00C56127">
        <w:rPr>
          <w:b/>
          <w:u w:val="single"/>
          <w:lang w:val="de-DE"/>
        </w:rPr>
        <w:t>Rechnungsabschluss 2023</w:t>
      </w:r>
    </w:p>
    <w:p w14:paraId="4D705870" w14:textId="10276D0E" w:rsidR="00337ED7" w:rsidRDefault="00337ED7">
      <w:r>
        <w:t xml:space="preserve">Der Rechnungsabschluss weist ein positives Ergebnis auf, welches für Investitionen verwendet wurde. Der Schuldenstand hat sich auf rund € 870.000,-- verringert. </w:t>
      </w:r>
    </w:p>
    <w:p w14:paraId="7F3A9E51" w14:textId="71DB244B" w:rsidR="00337ED7" w:rsidRDefault="00337ED7" w:rsidP="00337ED7">
      <w:pPr>
        <w:pStyle w:val="KeinLeerraum"/>
        <w:spacing w:line="276" w:lineRule="auto"/>
        <w:rPr>
          <w:rFonts w:asciiTheme="minorHAnsi" w:hAnsiTheme="minorHAnsi" w:cstheme="minorHAnsi"/>
          <w:sz w:val="22"/>
          <w:szCs w:val="22"/>
        </w:rPr>
      </w:pPr>
      <w:r>
        <w:rPr>
          <w:rFonts w:asciiTheme="minorHAnsi" w:hAnsiTheme="minorHAnsi" w:cstheme="minorHAnsi"/>
          <w:sz w:val="22"/>
          <w:szCs w:val="22"/>
        </w:rPr>
        <w:t xml:space="preserve">Die Schulden der Gemeinde betragen heute weniger als die Hälfte gegenüber dem Jahr 2001, obwohl in der vergangenen Zeit viele Projekte </w:t>
      </w:r>
      <w:r w:rsidR="00A87BF4">
        <w:rPr>
          <w:rFonts w:asciiTheme="minorHAnsi" w:hAnsiTheme="minorHAnsi" w:cstheme="minorHAnsi"/>
          <w:sz w:val="22"/>
          <w:szCs w:val="22"/>
        </w:rPr>
        <w:t>realisiert</w:t>
      </w:r>
      <w:r>
        <w:rPr>
          <w:rFonts w:asciiTheme="minorHAnsi" w:hAnsiTheme="minorHAnsi" w:cstheme="minorHAnsi"/>
          <w:sz w:val="22"/>
          <w:szCs w:val="22"/>
        </w:rPr>
        <w:t xml:space="preserve"> wurden:</w:t>
      </w:r>
    </w:p>
    <w:p w14:paraId="3ABD677A" w14:textId="4E70C31F" w:rsidR="00337ED7" w:rsidRDefault="00A87BF4" w:rsidP="00C56127">
      <w:pPr>
        <w:pStyle w:val="KeinLeerraum"/>
        <w:numPr>
          <w:ilvl w:val="0"/>
          <w:numId w:val="5"/>
        </w:numPr>
        <w:spacing w:line="276" w:lineRule="auto"/>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79154FCB" wp14:editId="7FA42FE7">
            <wp:simplePos x="0" y="0"/>
            <wp:positionH relativeFrom="margin">
              <wp:align>left</wp:align>
            </wp:positionH>
            <wp:positionV relativeFrom="paragraph">
              <wp:posOffset>66675</wp:posOffset>
            </wp:positionV>
            <wp:extent cx="4038600" cy="2459990"/>
            <wp:effectExtent l="0" t="0" r="0" b="0"/>
            <wp:wrapTight wrapText="bothSides">
              <wp:wrapPolygon edited="0">
                <wp:start x="0" y="0"/>
                <wp:lineTo x="0" y="21410"/>
                <wp:lineTo x="21498" y="21410"/>
                <wp:lineTo x="21498" y="0"/>
                <wp:lineTo x="0" y="0"/>
              </wp:wrapPolygon>
            </wp:wrapTight>
            <wp:docPr id="301997682" name="Grafik 1" descr="Ein Bild, das Text, Screenshot, Diagramm,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997682" name="Grafik 1" descr="Ein Bild, das Text, Screenshot, Diagramm, Reihe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9242" cy="2460620"/>
                    </a:xfrm>
                    <a:prstGeom prst="rect">
                      <a:avLst/>
                    </a:prstGeom>
                    <a:noFill/>
                  </pic:spPr>
                </pic:pic>
              </a:graphicData>
            </a:graphic>
            <wp14:sizeRelH relativeFrom="margin">
              <wp14:pctWidth>0</wp14:pctWidth>
            </wp14:sizeRelH>
            <wp14:sizeRelV relativeFrom="margin">
              <wp14:pctHeight>0</wp14:pctHeight>
            </wp14:sizeRelV>
          </wp:anchor>
        </w:drawing>
      </w:r>
      <w:r w:rsidR="00337ED7">
        <w:rPr>
          <w:rFonts w:asciiTheme="minorHAnsi" w:hAnsiTheme="minorHAnsi" w:cstheme="minorHAnsi"/>
          <w:sz w:val="22"/>
          <w:szCs w:val="22"/>
        </w:rPr>
        <w:t xml:space="preserve">Feuerwehrhaus </w:t>
      </w:r>
    </w:p>
    <w:p w14:paraId="0F3784B2" w14:textId="77777777" w:rsidR="00337ED7" w:rsidRDefault="00337ED7" w:rsidP="00337ED7">
      <w:pPr>
        <w:pStyle w:val="KeinLeerraum"/>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Volksschulsanierung</w:t>
      </w:r>
    </w:p>
    <w:p w14:paraId="73161319" w14:textId="77777777" w:rsidR="00C56127" w:rsidRDefault="00337ED7" w:rsidP="00337ED7">
      <w:pPr>
        <w:pStyle w:val="KeinLeerraum"/>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Mittelschulumbau mit</w:t>
      </w:r>
    </w:p>
    <w:p w14:paraId="5FEA5E2E" w14:textId="30E7A3BD" w:rsidR="00337ED7" w:rsidRDefault="00C56127" w:rsidP="00C56127">
      <w:pPr>
        <w:pStyle w:val="KeinLeerraum"/>
        <w:spacing w:line="276" w:lineRule="auto"/>
        <w:ind w:left="6732" w:firstLine="348"/>
        <w:rPr>
          <w:rFonts w:asciiTheme="minorHAnsi" w:hAnsiTheme="minorHAnsi" w:cstheme="minorHAnsi"/>
          <w:sz w:val="22"/>
          <w:szCs w:val="22"/>
        </w:rPr>
      </w:pPr>
      <w:r>
        <w:rPr>
          <w:rFonts w:asciiTheme="minorHAnsi" w:hAnsiTheme="minorHAnsi" w:cstheme="minorHAnsi"/>
          <w:sz w:val="22"/>
          <w:szCs w:val="22"/>
        </w:rPr>
        <w:t>z</w:t>
      </w:r>
      <w:r w:rsidR="00337ED7">
        <w:rPr>
          <w:rFonts w:asciiTheme="minorHAnsi" w:hAnsiTheme="minorHAnsi" w:cstheme="minorHAnsi"/>
          <w:sz w:val="22"/>
          <w:szCs w:val="22"/>
        </w:rPr>
        <w:t>weitem Turnsaal</w:t>
      </w:r>
    </w:p>
    <w:p w14:paraId="3D2BE96C" w14:textId="77777777" w:rsidR="00337ED7" w:rsidRDefault="00337ED7" w:rsidP="00337ED7">
      <w:pPr>
        <w:pStyle w:val="KeinLeerraum"/>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Wohnhaus Markt 66</w:t>
      </w:r>
    </w:p>
    <w:p w14:paraId="3CEB4606" w14:textId="77777777" w:rsidR="00C56127" w:rsidRDefault="00337ED7" w:rsidP="00337ED7">
      <w:pPr>
        <w:pStyle w:val="KeinLeerraum"/>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Wohn- und Geschäftshaus</w:t>
      </w:r>
    </w:p>
    <w:p w14:paraId="58A69E7D" w14:textId="1999D0C8" w:rsidR="00337ED7" w:rsidRDefault="00337ED7" w:rsidP="00C56127">
      <w:pPr>
        <w:pStyle w:val="KeinLeerraum"/>
        <w:spacing w:line="276" w:lineRule="auto"/>
        <w:ind w:left="6732" w:firstLine="348"/>
        <w:rPr>
          <w:rFonts w:asciiTheme="minorHAnsi" w:hAnsiTheme="minorHAnsi" w:cstheme="minorHAnsi"/>
          <w:sz w:val="22"/>
          <w:szCs w:val="22"/>
        </w:rPr>
      </w:pPr>
      <w:r>
        <w:rPr>
          <w:rFonts w:asciiTheme="minorHAnsi" w:hAnsiTheme="minorHAnsi" w:cstheme="minorHAnsi"/>
          <w:sz w:val="22"/>
          <w:szCs w:val="22"/>
        </w:rPr>
        <w:t>Markt 113</w:t>
      </w:r>
    </w:p>
    <w:p w14:paraId="0B1AFB7A" w14:textId="77777777" w:rsidR="00337ED7" w:rsidRDefault="00337ED7" w:rsidP="00337ED7">
      <w:pPr>
        <w:pStyle w:val="KeinLeerraum"/>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Wohnhaus Markt 80</w:t>
      </w:r>
    </w:p>
    <w:p w14:paraId="252E3789" w14:textId="27DFC40C" w:rsidR="00337ED7" w:rsidRDefault="00337ED7" w:rsidP="00337ED7">
      <w:pPr>
        <w:pStyle w:val="KeinLeerraum"/>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Gesundheitszentrum</w:t>
      </w:r>
    </w:p>
    <w:p w14:paraId="0482A77F" w14:textId="77777777" w:rsidR="00D265AF" w:rsidRDefault="00D265AF"/>
    <w:p w14:paraId="0DFB6370" w14:textId="56AEA1D1" w:rsidR="00337ED7" w:rsidRDefault="00337ED7">
      <w:r>
        <w:t>Der Rechnungsabschluss wurde vom Prüfungsausschuss geprüft</w:t>
      </w:r>
      <w:r w:rsidR="00A87BF4">
        <w:t xml:space="preserve"> und vom Gemeinderat genehmigt.</w:t>
      </w:r>
    </w:p>
    <w:p w14:paraId="2292BB20" w14:textId="77777777" w:rsidR="00C56127" w:rsidRDefault="00C56127">
      <w:bookmarkStart w:id="0" w:name="_GoBack"/>
      <w:bookmarkEnd w:id="0"/>
    </w:p>
    <w:p w14:paraId="2F90727C" w14:textId="78605466" w:rsidR="00A87BF4" w:rsidRPr="00C56127" w:rsidRDefault="00A87BF4" w:rsidP="00C56127">
      <w:pPr>
        <w:pStyle w:val="Listenabsatz"/>
        <w:numPr>
          <w:ilvl w:val="0"/>
          <w:numId w:val="7"/>
        </w:numPr>
        <w:spacing w:after="0"/>
        <w:rPr>
          <w:b/>
          <w:u w:val="single"/>
          <w:lang w:val="de-DE"/>
        </w:rPr>
      </w:pPr>
      <w:r w:rsidRPr="00C56127">
        <w:rPr>
          <w:b/>
          <w:u w:val="single"/>
          <w:lang w:val="de-DE"/>
        </w:rPr>
        <w:t>Veranstaltungssaal 1000-jährige Linde</w:t>
      </w:r>
    </w:p>
    <w:p w14:paraId="064151A1" w14:textId="5AE44CA9" w:rsidR="00A87BF4" w:rsidRDefault="00A87BF4">
      <w:r>
        <w:t>Der Gemeinderat hat für den Abbruch und den Neubau des sogenannten Linden-Saals den Auftrag an die Baufirma Handler vergeben. Diese Firma ist nach einer Ausschreibung als Best- und Billigstbieter hervorgegangen.</w:t>
      </w:r>
    </w:p>
    <w:p w14:paraId="67286AD2" w14:textId="1FBC2539" w:rsidR="00C56127" w:rsidRPr="00C56127" w:rsidRDefault="00D265AF" w:rsidP="00C56127">
      <w:pPr>
        <w:pStyle w:val="Listenabsatz"/>
        <w:numPr>
          <w:ilvl w:val="0"/>
          <w:numId w:val="7"/>
        </w:numPr>
        <w:spacing w:after="0"/>
        <w:rPr>
          <w:b/>
          <w:u w:val="single"/>
          <w:lang w:val="de-DE"/>
        </w:rPr>
      </w:pPr>
      <w:r w:rsidRPr="00D265AF">
        <w:lastRenderedPageBreak/>
        <w:drawing>
          <wp:anchor distT="0" distB="0" distL="114300" distR="114300" simplePos="0" relativeHeight="251661312" behindDoc="1" locked="0" layoutInCell="1" allowOverlap="1" wp14:anchorId="46F8FF19" wp14:editId="1BDC7F48">
            <wp:simplePos x="0" y="0"/>
            <wp:positionH relativeFrom="column">
              <wp:posOffset>-33020</wp:posOffset>
            </wp:positionH>
            <wp:positionV relativeFrom="paragraph">
              <wp:posOffset>0</wp:posOffset>
            </wp:positionV>
            <wp:extent cx="2781300" cy="1320800"/>
            <wp:effectExtent l="0" t="0" r="0" b="0"/>
            <wp:wrapTight wrapText="bothSides">
              <wp:wrapPolygon edited="0">
                <wp:start x="0" y="0"/>
                <wp:lineTo x="0" y="21185"/>
                <wp:lineTo x="21452" y="21185"/>
                <wp:lineTo x="21452" y="0"/>
                <wp:lineTo x="0" y="0"/>
              </wp:wrapPolygon>
            </wp:wrapTight>
            <wp:docPr id="7" name="Grafik 6">
              <a:extLst xmlns:a="http://schemas.openxmlformats.org/drawingml/2006/main">
                <a:ext uri="{FF2B5EF4-FFF2-40B4-BE49-F238E27FC236}">
                  <a16:creationId xmlns:a16="http://schemas.microsoft.com/office/drawing/2014/main" id="{D0D39AE7-1471-4741-97F3-EEFC3C3AB1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D0D39AE7-1471-4741-97F3-EEFC3C3AB1F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00" cy="1320800"/>
                    </a:xfrm>
                    <a:prstGeom prst="rect">
                      <a:avLst/>
                    </a:prstGeom>
                  </pic:spPr>
                </pic:pic>
              </a:graphicData>
            </a:graphic>
            <wp14:sizeRelH relativeFrom="margin">
              <wp14:pctWidth>0</wp14:pctWidth>
            </wp14:sizeRelH>
            <wp14:sizeRelV relativeFrom="margin">
              <wp14:pctHeight>0</wp14:pctHeight>
            </wp14:sizeRelV>
          </wp:anchor>
        </w:drawing>
      </w:r>
      <w:r w:rsidR="00C56127" w:rsidRPr="00C56127">
        <w:rPr>
          <w:b/>
          <w:u w:val="single"/>
          <w:lang w:val="de-DE"/>
        </w:rPr>
        <w:t>PV-Anlage Sportplatz</w:t>
      </w:r>
    </w:p>
    <w:p w14:paraId="1E58051F" w14:textId="2A692BA5" w:rsidR="00A87BF4" w:rsidRDefault="00A87BF4">
      <w:r>
        <w:t>Außerdem hat der Gemeinderat den Auftrag zur Lieferung und Montage einer Photovoltaik-Anlage am Dach des neuen Gebäudes am Sportplatz an die Firma Eisenhuber vergeben. 153 PV-Module leisten insgesamt 66 kWp.</w:t>
      </w:r>
    </w:p>
    <w:p w14:paraId="6EEFF28B" w14:textId="77777777" w:rsidR="00A87BF4" w:rsidRDefault="00A87BF4"/>
    <w:p w14:paraId="4746C9D0" w14:textId="50160E4A" w:rsidR="00A87BF4" w:rsidRPr="00C56127" w:rsidRDefault="00D265AF" w:rsidP="00C56127">
      <w:pPr>
        <w:pStyle w:val="Listenabsatz"/>
        <w:numPr>
          <w:ilvl w:val="0"/>
          <w:numId w:val="7"/>
        </w:numPr>
        <w:spacing w:after="0"/>
        <w:rPr>
          <w:b/>
          <w:u w:val="single"/>
          <w:lang w:val="de-DE"/>
        </w:rPr>
      </w:pPr>
      <w:r>
        <w:rPr>
          <w:noProof/>
        </w:rPr>
        <w:drawing>
          <wp:anchor distT="0" distB="0" distL="114300" distR="114300" simplePos="0" relativeHeight="251662336" behindDoc="1" locked="0" layoutInCell="1" allowOverlap="1" wp14:anchorId="15FFCFBF" wp14:editId="5F3D6C64">
            <wp:simplePos x="0" y="0"/>
            <wp:positionH relativeFrom="column">
              <wp:posOffset>3963670</wp:posOffset>
            </wp:positionH>
            <wp:positionV relativeFrom="paragraph">
              <wp:posOffset>154305</wp:posOffset>
            </wp:positionV>
            <wp:extent cx="2084705" cy="1314450"/>
            <wp:effectExtent l="0" t="0" r="0" b="0"/>
            <wp:wrapTight wrapText="bothSides">
              <wp:wrapPolygon edited="0">
                <wp:start x="0" y="0"/>
                <wp:lineTo x="0" y="21287"/>
                <wp:lineTo x="21317" y="21287"/>
                <wp:lineTo x="21317" y="0"/>
                <wp:lineTo x="0" y="0"/>
              </wp:wrapPolygon>
            </wp:wrapTight>
            <wp:docPr id="3" name="Bild 2" descr="collage_mue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ge_muenz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BF4" w:rsidRPr="00C56127">
        <w:rPr>
          <w:b/>
          <w:u w:val="single"/>
          <w:lang w:val="de-DE"/>
        </w:rPr>
        <w:t>Gebührenbremse</w:t>
      </w:r>
    </w:p>
    <w:p w14:paraId="132C97FA" w14:textId="320049A5" w:rsidR="00A87BF4" w:rsidRDefault="00A87BF4">
      <w:r>
        <w:t>Der Nationalrat hat beschlossen, den Gebührenzahlern unter die Arme zu greifen und dazu 150 Mio. Euro zur Verfügung gestellt. Dieser Betrag ist österreichweit über die Gemeinden an die Gebührenzahler zu verteilen. Der Gemeinderat hat beschlossen, den auf Kirchberg entfallenden Betrag von € 41.208,-- über die Grüne-Tonne-Gebühr zu verrechnen. Somit erhalten alle Kirchberger Haushalte bei der 2. Quartalsvorschreibung ein Guthaben von ca. € 44,--.</w:t>
      </w:r>
    </w:p>
    <w:p w14:paraId="7AE7358D" w14:textId="77777777" w:rsidR="00C56127" w:rsidRDefault="00C56127">
      <w:pPr>
        <w:rPr>
          <w:lang w:val="de-DE"/>
        </w:rPr>
      </w:pPr>
    </w:p>
    <w:p w14:paraId="03FDC01E" w14:textId="32B3DC84" w:rsidR="00793E45" w:rsidRDefault="00C56127">
      <w:pPr>
        <w:rPr>
          <w:lang w:val="de-DE"/>
        </w:rPr>
      </w:pPr>
      <w:r>
        <w:rPr>
          <w:lang w:val="de-DE"/>
        </w:rPr>
        <w:t xml:space="preserve">Weiters </w:t>
      </w:r>
      <w:r w:rsidR="00337ED7">
        <w:rPr>
          <w:lang w:val="de-DE"/>
        </w:rPr>
        <w:t>wurden vom Gemeinderat</w:t>
      </w:r>
    </w:p>
    <w:p w14:paraId="730FFDAB" w14:textId="1131863E" w:rsidR="00337ED7" w:rsidRPr="00337ED7" w:rsidRDefault="00337ED7" w:rsidP="00337ED7">
      <w:pPr>
        <w:pStyle w:val="Listenabsatz"/>
        <w:numPr>
          <w:ilvl w:val="0"/>
          <w:numId w:val="2"/>
        </w:numPr>
        <w:rPr>
          <w:lang w:val="de-DE"/>
        </w:rPr>
      </w:pPr>
      <w:r w:rsidRPr="00337ED7">
        <w:rPr>
          <w:lang w:val="de-DE"/>
        </w:rPr>
        <w:t xml:space="preserve">3 Förderverträge über Förderungen für Wasserleitungsprojekte, </w:t>
      </w:r>
    </w:p>
    <w:p w14:paraId="4CF97204" w14:textId="5FAD2A02" w:rsidR="00337ED7" w:rsidRPr="00337ED7" w:rsidRDefault="00337ED7" w:rsidP="00337ED7">
      <w:pPr>
        <w:pStyle w:val="Listenabsatz"/>
        <w:numPr>
          <w:ilvl w:val="0"/>
          <w:numId w:val="2"/>
        </w:numPr>
        <w:rPr>
          <w:lang w:val="de-DE"/>
        </w:rPr>
      </w:pPr>
      <w:r w:rsidRPr="00337ED7">
        <w:rPr>
          <w:lang w:val="de-DE"/>
        </w:rPr>
        <w:t>2 Mietverträge über eine Wohnung und ein Geschäftslokal und</w:t>
      </w:r>
    </w:p>
    <w:p w14:paraId="0BB4A93B" w14:textId="77777777" w:rsidR="00C56127" w:rsidRDefault="00337ED7" w:rsidP="00337ED7">
      <w:pPr>
        <w:pStyle w:val="Listenabsatz"/>
        <w:numPr>
          <w:ilvl w:val="0"/>
          <w:numId w:val="2"/>
        </w:numPr>
        <w:rPr>
          <w:lang w:val="de-DE"/>
        </w:rPr>
      </w:pPr>
      <w:r w:rsidRPr="00337ED7">
        <w:rPr>
          <w:lang w:val="de-DE"/>
        </w:rPr>
        <w:t xml:space="preserve">1 Kaufvertrag über ein Baugrundstück </w:t>
      </w:r>
    </w:p>
    <w:p w14:paraId="3DED806D" w14:textId="6D4B2873" w:rsidR="00337ED7" w:rsidRDefault="00337ED7" w:rsidP="00C56127">
      <w:pPr>
        <w:rPr>
          <w:lang w:val="de-DE"/>
        </w:rPr>
      </w:pPr>
      <w:r w:rsidRPr="00C56127">
        <w:rPr>
          <w:lang w:val="de-DE"/>
        </w:rPr>
        <w:t>genehmigt.</w:t>
      </w:r>
    </w:p>
    <w:p w14:paraId="775BC434" w14:textId="77777777" w:rsidR="00D265AF" w:rsidRPr="00C56127" w:rsidRDefault="00D265AF" w:rsidP="00C56127">
      <w:pPr>
        <w:rPr>
          <w:lang w:val="de-DE"/>
        </w:rPr>
      </w:pPr>
    </w:p>
    <w:p w14:paraId="4962FFF6" w14:textId="77777777" w:rsidR="00D265AF" w:rsidRPr="00D265AF" w:rsidRDefault="00D265AF" w:rsidP="00D265AF">
      <w:pPr>
        <w:pStyle w:val="KeinLeerraum"/>
        <w:spacing w:line="276" w:lineRule="auto"/>
        <w:jc w:val="both"/>
        <w:rPr>
          <w:rFonts w:ascii="Calibri" w:hAnsi="Calibri" w:cs="Calibri"/>
        </w:rPr>
      </w:pPr>
      <w:r w:rsidRPr="00D265AF">
        <w:rPr>
          <w:rFonts w:ascii="Calibri" w:hAnsi="Calibri" w:cs="Calibri"/>
          <w:i/>
          <w:sz w:val="18"/>
          <w:szCs w:val="18"/>
        </w:rPr>
        <w:t xml:space="preserve">Das gesamte Protokoll der Sitzung kann nach Genehmigung durch den Gemeinderat in seiner nächsten Sitzung auf der Homepage eingesehen werden. </w:t>
      </w:r>
    </w:p>
    <w:p w14:paraId="366F98FD" w14:textId="77777777" w:rsidR="00337ED7" w:rsidRDefault="00337ED7">
      <w:pPr>
        <w:rPr>
          <w:lang w:val="de-DE"/>
        </w:rPr>
      </w:pPr>
    </w:p>
    <w:p w14:paraId="0DD30CE4" w14:textId="77777777" w:rsidR="00337ED7" w:rsidRPr="00337ED7" w:rsidRDefault="00337ED7">
      <w:pPr>
        <w:rPr>
          <w:lang w:val="de-DE"/>
        </w:rPr>
      </w:pPr>
    </w:p>
    <w:sectPr w:rsidR="00337ED7" w:rsidRPr="00337ED7" w:rsidSect="00A87BF4">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41"/>
    <w:multiLevelType w:val="hybridMultilevel"/>
    <w:tmpl w:val="E0D01942"/>
    <w:lvl w:ilvl="0" w:tplc="0C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C00DB9"/>
    <w:multiLevelType w:val="hybridMultilevel"/>
    <w:tmpl w:val="58948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13FCD"/>
    <w:multiLevelType w:val="hybridMultilevel"/>
    <w:tmpl w:val="BF801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BC2236"/>
    <w:multiLevelType w:val="hybridMultilevel"/>
    <w:tmpl w:val="33464C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358D6"/>
    <w:multiLevelType w:val="hybridMultilevel"/>
    <w:tmpl w:val="82F0B3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AE192E"/>
    <w:multiLevelType w:val="hybridMultilevel"/>
    <w:tmpl w:val="6CC2B89A"/>
    <w:lvl w:ilvl="0" w:tplc="0C07000B">
      <w:start w:val="1"/>
      <w:numFmt w:val="bullet"/>
      <w:lvlText w:val=""/>
      <w:lvlJc w:val="left"/>
      <w:pPr>
        <w:ind w:left="2136" w:hanging="360"/>
      </w:pPr>
      <w:rPr>
        <w:rFonts w:ascii="Wingdings" w:hAnsi="Wingdings" w:hint="default"/>
      </w:rPr>
    </w:lvl>
    <w:lvl w:ilvl="1" w:tplc="0C070003">
      <w:start w:val="1"/>
      <w:numFmt w:val="bullet"/>
      <w:lvlText w:val="o"/>
      <w:lvlJc w:val="left"/>
      <w:pPr>
        <w:ind w:left="2856" w:hanging="360"/>
      </w:pPr>
      <w:rPr>
        <w:rFonts w:ascii="Courier New" w:hAnsi="Courier New" w:cs="Courier New" w:hint="default"/>
      </w:rPr>
    </w:lvl>
    <w:lvl w:ilvl="2" w:tplc="0C070005">
      <w:start w:val="1"/>
      <w:numFmt w:val="bullet"/>
      <w:lvlText w:val=""/>
      <w:lvlJc w:val="left"/>
      <w:pPr>
        <w:ind w:left="3576" w:hanging="360"/>
      </w:pPr>
      <w:rPr>
        <w:rFonts w:ascii="Wingdings" w:hAnsi="Wingdings" w:hint="default"/>
      </w:rPr>
    </w:lvl>
    <w:lvl w:ilvl="3" w:tplc="0C070001">
      <w:start w:val="1"/>
      <w:numFmt w:val="bullet"/>
      <w:lvlText w:val=""/>
      <w:lvlJc w:val="left"/>
      <w:pPr>
        <w:ind w:left="4296" w:hanging="360"/>
      </w:pPr>
      <w:rPr>
        <w:rFonts w:ascii="Symbol" w:hAnsi="Symbol" w:hint="default"/>
      </w:rPr>
    </w:lvl>
    <w:lvl w:ilvl="4" w:tplc="0C070003">
      <w:start w:val="1"/>
      <w:numFmt w:val="bullet"/>
      <w:lvlText w:val="o"/>
      <w:lvlJc w:val="left"/>
      <w:pPr>
        <w:ind w:left="5016" w:hanging="360"/>
      </w:pPr>
      <w:rPr>
        <w:rFonts w:ascii="Courier New" w:hAnsi="Courier New" w:cs="Courier New" w:hint="default"/>
      </w:rPr>
    </w:lvl>
    <w:lvl w:ilvl="5" w:tplc="0C070005">
      <w:start w:val="1"/>
      <w:numFmt w:val="bullet"/>
      <w:lvlText w:val=""/>
      <w:lvlJc w:val="left"/>
      <w:pPr>
        <w:ind w:left="5736" w:hanging="360"/>
      </w:pPr>
      <w:rPr>
        <w:rFonts w:ascii="Wingdings" w:hAnsi="Wingdings" w:hint="default"/>
      </w:rPr>
    </w:lvl>
    <w:lvl w:ilvl="6" w:tplc="0C070001">
      <w:start w:val="1"/>
      <w:numFmt w:val="bullet"/>
      <w:lvlText w:val=""/>
      <w:lvlJc w:val="left"/>
      <w:pPr>
        <w:ind w:left="6456" w:hanging="360"/>
      </w:pPr>
      <w:rPr>
        <w:rFonts w:ascii="Symbol" w:hAnsi="Symbol" w:hint="default"/>
      </w:rPr>
    </w:lvl>
    <w:lvl w:ilvl="7" w:tplc="0C070003">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6" w15:restartNumberingAfterBreak="0">
    <w:nsid w:val="7F21797E"/>
    <w:multiLevelType w:val="hybridMultilevel"/>
    <w:tmpl w:val="649632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D7"/>
    <w:rsid w:val="000738AF"/>
    <w:rsid w:val="00337ED7"/>
    <w:rsid w:val="00561B3F"/>
    <w:rsid w:val="00793E45"/>
    <w:rsid w:val="007C6EA0"/>
    <w:rsid w:val="008F198F"/>
    <w:rsid w:val="00A87BF4"/>
    <w:rsid w:val="00C56127"/>
    <w:rsid w:val="00D265AF"/>
    <w:rsid w:val="00E62C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2E91"/>
  <w15:chartTrackingRefBased/>
  <w15:docId w15:val="{30524BBC-ADE1-4388-9472-95B1C4F7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7E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37E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37ED7"/>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37ED7"/>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37ED7"/>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37ED7"/>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37ED7"/>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37ED7"/>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37ED7"/>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7ED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37ED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37ED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37ED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37ED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37ED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37ED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37ED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37ED7"/>
    <w:rPr>
      <w:rFonts w:eastAsiaTheme="majorEastAsia" w:cstheme="majorBidi"/>
      <w:color w:val="272727" w:themeColor="text1" w:themeTint="D8"/>
    </w:rPr>
  </w:style>
  <w:style w:type="paragraph" w:styleId="Titel">
    <w:name w:val="Title"/>
    <w:basedOn w:val="Standard"/>
    <w:next w:val="Standard"/>
    <w:link w:val="TitelZchn"/>
    <w:uiPriority w:val="10"/>
    <w:qFormat/>
    <w:rsid w:val="00337E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37ED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37ED7"/>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37ED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37ED7"/>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37ED7"/>
    <w:rPr>
      <w:i/>
      <w:iCs/>
      <w:color w:val="404040" w:themeColor="text1" w:themeTint="BF"/>
    </w:rPr>
  </w:style>
  <w:style w:type="paragraph" w:styleId="Listenabsatz">
    <w:name w:val="List Paragraph"/>
    <w:basedOn w:val="Standard"/>
    <w:uiPriority w:val="34"/>
    <w:qFormat/>
    <w:rsid w:val="00337ED7"/>
    <w:pPr>
      <w:ind w:left="720"/>
      <w:contextualSpacing/>
    </w:pPr>
  </w:style>
  <w:style w:type="character" w:styleId="IntensiveHervorhebung">
    <w:name w:val="Intense Emphasis"/>
    <w:basedOn w:val="Absatz-Standardschriftart"/>
    <w:uiPriority w:val="21"/>
    <w:qFormat/>
    <w:rsid w:val="00337ED7"/>
    <w:rPr>
      <w:i/>
      <w:iCs/>
      <w:color w:val="0F4761" w:themeColor="accent1" w:themeShade="BF"/>
    </w:rPr>
  </w:style>
  <w:style w:type="paragraph" w:styleId="IntensivesZitat">
    <w:name w:val="Intense Quote"/>
    <w:basedOn w:val="Standard"/>
    <w:next w:val="Standard"/>
    <w:link w:val="IntensivesZitatZchn"/>
    <w:uiPriority w:val="30"/>
    <w:qFormat/>
    <w:rsid w:val="00337E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37ED7"/>
    <w:rPr>
      <w:i/>
      <w:iCs/>
      <w:color w:val="0F4761" w:themeColor="accent1" w:themeShade="BF"/>
    </w:rPr>
  </w:style>
  <w:style w:type="character" w:styleId="IntensiverVerweis">
    <w:name w:val="Intense Reference"/>
    <w:basedOn w:val="Absatz-Standardschriftart"/>
    <w:uiPriority w:val="32"/>
    <w:qFormat/>
    <w:rsid w:val="00337ED7"/>
    <w:rPr>
      <w:b/>
      <w:bCs/>
      <w:smallCaps/>
      <w:color w:val="0F4761" w:themeColor="accent1" w:themeShade="BF"/>
      <w:spacing w:val="5"/>
    </w:rPr>
  </w:style>
  <w:style w:type="paragraph" w:styleId="KeinLeerraum">
    <w:name w:val="No Spacing"/>
    <w:uiPriority w:val="1"/>
    <w:qFormat/>
    <w:rsid w:val="00337ED7"/>
    <w:pPr>
      <w:spacing w:after="0" w:line="240" w:lineRule="auto"/>
    </w:pPr>
    <w:rPr>
      <w:rFonts w:ascii="Times New Roman" w:eastAsia="Times New Roman" w:hAnsi="Times New Roman" w:cs="Times New Roman"/>
      <w:kern w:val="0"/>
      <w:sz w:val="24"/>
      <w:szCs w:val="20"/>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Zuettl Gregor, 4AHBTH</dc:creator>
  <cp:keywords/>
  <dc:description/>
  <cp:lastModifiedBy>gemeinde</cp:lastModifiedBy>
  <cp:revision>2</cp:revision>
  <dcterms:created xsi:type="dcterms:W3CDTF">2024-03-25T06:58:00Z</dcterms:created>
  <dcterms:modified xsi:type="dcterms:W3CDTF">2024-03-25T06:58:00Z</dcterms:modified>
</cp:coreProperties>
</file>